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965D" w14:textId="063401D5" w:rsidR="00B91BB8" w:rsidRPr="00DB22D6" w:rsidRDefault="00DB22D6">
      <w:pPr>
        <w:spacing w:before="240" w:line="480" w:lineRule="auto"/>
        <w:jc w:val="center"/>
        <w:rPr>
          <w:bCs/>
        </w:rPr>
      </w:pPr>
      <w:r w:rsidRPr="00DB22D6">
        <w:rPr>
          <w:rFonts w:cs="Corbel"/>
          <w:b/>
          <w:color w:val="000000"/>
        </w:rPr>
        <w:t>Academic Isolation vs. Integration</w:t>
      </w:r>
      <w:r>
        <w:rPr>
          <w:rFonts w:cs="Corbel"/>
          <w:b/>
          <w:color w:val="000000"/>
        </w:rPr>
        <w:br/>
      </w:r>
      <w:r w:rsidRPr="00DB22D6">
        <w:rPr>
          <w:rFonts w:cs="Corbel"/>
          <w:b/>
          <w:color w:val="000000"/>
        </w:rPr>
        <w:t xml:space="preserve">How to become an active member of your research field </w:t>
      </w:r>
      <w:r>
        <w:rPr>
          <w:rFonts w:cs="Corbel"/>
          <w:b/>
          <w:color w:val="000000"/>
        </w:rPr>
        <w:br/>
      </w:r>
      <w:r w:rsidR="00043763" w:rsidRPr="00DB22D6">
        <w:rPr>
          <w:bCs/>
        </w:rPr>
        <w:t>ACTION PLAN TO FOSTER INTEGRATION</w:t>
      </w:r>
    </w:p>
    <w:p w14:paraId="015E3DBB" w14:textId="02696342" w:rsidR="00B91BB8" w:rsidRDefault="00246899" w:rsidP="00DB22D6">
      <w:pPr>
        <w:spacing w:beforeLines="0" w:before="0" w:line="240" w:lineRule="auto"/>
        <w:rPr>
          <w:b/>
        </w:rPr>
      </w:pPr>
      <w:r>
        <w:rPr>
          <w:b/>
        </w:rPr>
        <w:t>1</w:t>
      </w:r>
      <w:r w:rsidR="00043763">
        <w:rPr>
          <w:b/>
        </w:rPr>
        <w:t xml:space="preserve">. Individual Integration Strategies </w:t>
      </w:r>
    </w:p>
    <w:p w14:paraId="1772DB38" w14:textId="77777777" w:rsidR="00B91BB8" w:rsidRDefault="00043763">
      <w:pPr>
        <w:spacing w:before="240" w:after="120"/>
        <w:rPr>
          <w:i/>
        </w:rPr>
      </w:pPr>
      <w:r>
        <w:rPr>
          <w:i/>
        </w:rPr>
        <w:t>Specify in the table below how you can work individual to gradually become better integrated in your research community</w: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14"/>
        <w:gridCol w:w="2034"/>
        <w:gridCol w:w="2034"/>
        <w:gridCol w:w="2034"/>
        <w:gridCol w:w="1496"/>
      </w:tblGrid>
      <w:tr w:rsidR="00B91BB8" w14:paraId="6C37F8E5" w14:textId="77777777" w:rsidTr="00246899">
        <w:trPr>
          <w:trHeight w:val="664"/>
        </w:trPr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B43C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Type of individual strategy 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2C50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What strategies I have </w:t>
            </w:r>
            <w:proofErr w:type="spellStart"/>
            <w:r>
              <w:rPr>
                <w:b/>
              </w:rPr>
              <w:t>usedWhat</w:t>
            </w:r>
            <w:proofErr w:type="spellEnd"/>
            <w:r>
              <w:rPr>
                <w:b/>
              </w:rPr>
              <w:t xml:space="preserve"> strategies I have used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D855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What strategies I want to try 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2036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Actions in 3 </w:t>
            </w:r>
            <w:proofErr w:type="spellStart"/>
            <w:r>
              <w:rPr>
                <w:b/>
              </w:rPr>
              <w:t>weeks time</w:t>
            </w:r>
            <w:proofErr w:type="spellEnd"/>
          </w:p>
        </w:tc>
        <w:tc>
          <w:tcPr>
            <w:tcW w:w="7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AC5C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Actions in 6 </w:t>
            </w:r>
            <w:proofErr w:type="spellStart"/>
            <w:r>
              <w:rPr>
                <w:b/>
              </w:rPr>
              <w:t>weeks time</w:t>
            </w:r>
            <w:proofErr w:type="spellEnd"/>
          </w:p>
        </w:tc>
      </w:tr>
      <w:tr w:rsidR="00B91BB8" w14:paraId="5C44E571" w14:textId="77777777" w:rsidTr="00246899">
        <w:trPr>
          <w:trHeight w:val="5"/>
        </w:trPr>
        <w:tc>
          <w:tcPr>
            <w:tcW w:w="1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613A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Intellectual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C79C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87D6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E040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EA57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3536F040" w14:textId="77777777" w:rsidTr="00246899">
        <w:trPr>
          <w:trHeight w:val="545"/>
        </w:trPr>
        <w:tc>
          <w:tcPr>
            <w:tcW w:w="1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1816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Network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DD63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C6D3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7EC5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79E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03DFCCD5" w14:textId="77777777" w:rsidTr="00246899">
        <w:trPr>
          <w:trHeight w:val="545"/>
        </w:trPr>
        <w:tc>
          <w:tcPr>
            <w:tcW w:w="1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97A7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9153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E4B5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DF81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1322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7B41F45C" w14:textId="77777777" w:rsidTr="00246899">
        <w:trPr>
          <w:trHeight w:val="875"/>
        </w:trPr>
        <w:tc>
          <w:tcPr>
            <w:tcW w:w="10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B3D0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Technological </w:t>
            </w:r>
            <w:r>
              <w:t>(enabling tools)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0164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1019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86D1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E3F5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2246DD8" w14:textId="6A625174" w:rsidR="00B91BB8" w:rsidRDefault="00B91BB8" w:rsidP="00DB22D6">
      <w:pPr>
        <w:spacing w:before="240" w:line="240" w:lineRule="auto"/>
        <w:rPr>
          <w:b/>
        </w:rPr>
      </w:pPr>
    </w:p>
    <w:p w14:paraId="1A96B609" w14:textId="5D4DA168" w:rsidR="00B91BB8" w:rsidRDefault="00246899" w:rsidP="00DB22D6">
      <w:pPr>
        <w:spacing w:beforeLines="0" w:before="0" w:line="240" w:lineRule="auto"/>
        <w:rPr>
          <w:b/>
        </w:rPr>
      </w:pPr>
      <w:r>
        <w:rPr>
          <w:b/>
        </w:rPr>
        <w:t>2</w:t>
      </w:r>
      <w:r w:rsidR="00043763">
        <w:rPr>
          <w:b/>
        </w:rPr>
        <w:t xml:space="preserve">. Collective Integration Strategies </w:t>
      </w:r>
    </w:p>
    <w:p w14:paraId="22D24473" w14:textId="77777777" w:rsidR="00B91BB8" w:rsidRDefault="00043763">
      <w:pPr>
        <w:spacing w:before="240" w:after="120"/>
        <w:rPr>
          <w:i/>
        </w:rPr>
      </w:pPr>
      <w:r>
        <w:rPr>
          <w:i/>
        </w:rPr>
        <w:t>Research collectives help develop academic integration in many ways: accessing learning resources and creating learning experiences, developing fruitful collaboration networks, demonstrating productivity, creating a support network. They are also opportunities to make friends and help keep balance in difficult times.</w:t>
      </w: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658"/>
        <w:gridCol w:w="1667"/>
        <w:gridCol w:w="1669"/>
        <w:gridCol w:w="1669"/>
        <w:gridCol w:w="1669"/>
        <w:gridCol w:w="1280"/>
      </w:tblGrid>
      <w:tr w:rsidR="00B91BB8" w14:paraId="18DF50B3" w14:textId="77777777" w:rsidTr="00246899">
        <w:trPr>
          <w:trHeight w:val="570"/>
        </w:trPr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A6B2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Type of academic groups</w:t>
            </w:r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0056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Group description </w:t>
            </w:r>
          </w:p>
        </w:tc>
        <w:tc>
          <w:tcPr>
            <w:tcW w:w="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BEE1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Recruitment</w:t>
            </w:r>
          </w:p>
        </w:tc>
        <w:tc>
          <w:tcPr>
            <w:tcW w:w="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9D33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Group rules</w:t>
            </w:r>
          </w:p>
        </w:tc>
        <w:tc>
          <w:tcPr>
            <w:tcW w:w="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70BC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Actions in 3 weeks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D9E1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</w:rPr>
            </w:pPr>
            <w:r>
              <w:rPr>
                <w:b/>
              </w:rPr>
              <w:t>Actions in 6 weeks</w:t>
            </w:r>
          </w:p>
        </w:tc>
      </w:tr>
      <w:tr w:rsidR="00B91BB8" w14:paraId="0B33E649" w14:textId="77777777" w:rsidTr="00246899">
        <w:trPr>
          <w:trHeight w:val="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B333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Reading group</w:t>
            </w:r>
            <w:r>
              <w:t>:</w:t>
            </w:r>
            <w:r>
              <w:rPr>
                <w:sz w:val="20"/>
                <w:szCs w:val="20"/>
              </w:rPr>
              <w:t xml:space="preserve"> collective meeting regularly to discuss academic articles from your </w:t>
            </w:r>
            <w:r>
              <w:rPr>
                <w:sz w:val="20"/>
                <w:szCs w:val="20"/>
              </w:rPr>
              <w:lastRenderedPageBreak/>
              <w:t xml:space="preserve">research community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9300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Describe for example </w:t>
            </w:r>
          </w:p>
          <w:p w14:paraId="139E6149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activities </w:t>
            </w:r>
          </w:p>
          <w:p w14:paraId="3E06F1C8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group size</w:t>
            </w:r>
          </w:p>
          <w:p w14:paraId="2B764B57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frequency of meeting</w:t>
            </w:r>
          </w:p>
          <w:p w14:paraId="74351F98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outputs </w:t>
            </w:r>
          </w:p>
          <w:p w14:paraId="350A0600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 meeting space (online and or offline)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0A89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Which profile of participants is relevant to the group: level of experience, discipline, expertise, ...</w:t>
            </w:r>
          </w:p>
          <w:p w14:paraId="5CC2101F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Where will you recruit participants from: your university, your research community, or other research communities?</w:t>
            </w:r>
          </w:p>
          <w:p w14:paraId="1BF153C0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will you contact them: </w:t>
            </w:r>
            <w:proofErr w:type="spellStart"/>
            <w:r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 xml:space="preserve"> group message, email to your contact, informal conversation with friends...</w:t>
            </w:r>
          </w:p>
          <w:p w14:paraId="025D81CE" w14:textId="3BBFD93A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Who  will you </w:t>
            </w:r>
            <w:proofErr w:type="spellStart"/>
            <w:r>
              <w:rPr>
                <w:i/>
                <w:sz w:val="20"/>
                <w:szCs w:val="20"/>
              </w:rPr>
              <w:t>recruit:write</w:t>
            </w:r>
            <w:proofErr w:type="spellEnd"/>
            <w:r>
              <w:rPr>
                <w:i/>
                <w:sz w:val="20"/>
                <w:szCs w:val="20"/>
              </w:rPr>
              <w:t xml:space="preserve"> names of the specific people you already have in mind as relevant.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7C46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Which rules will the group follow - e.g. induction, attendance, taking breaks from the group</w:t>
            </w:r>
          </w:p>
          <w:p w14:paraId="16316B5E" w14:textId="77777777" w:rsidR="00B91BB8" w:rsidRDefault="00043763" w:rsidP="00702225">
            <w:pPr>
              <w:spacing w:beforeLines="0" w:before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More on this here: </w:t>
            </w:r>
            <w:proofErr w:type="spellStart"/>
            <w:r>
              <w:rPr>
                <w:i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A8C7" w14:textId="77777777" w:rsidR="00B91BB8" w:rsidRDefault="00B91BB8" w:rsidP="00702225">
            <w:pPr>
              <w:spacing w:beforeLines="0"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938A" w14:textId="77777777" w:rsidR="00B91BB8" w:rsidRDefault="00B91BB8" w:rsidP="00702225">
            <w:pPr>
              <w:spacing w:beforeLines="0"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91BB8" w14:paraId="7698E724" w14:textId="77777777" w:rsidTr="00246899">
        <w:trPr>
          <w:trHeight w:val="54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32A1" w14:textId="77777777" w:rsidR="00B91BB8" w:rsidRDefault="00043763" w:rsidP="00702225">
            <w:pPr>
              <w:spacing w:beforeLines="0" w:before="0" w:line="240" w:lineRule="auto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b/>
              </w:rPr>
              <w:t>Feedback group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(add description from </w:t>
            </w:r>
            <w:proofErr w:type="spellStart"/>
            <w:r>
              <w:rPr>
                <w:sz w:val="20"/>
                <w:szCs w:val="20"/>
              </w:rPr>
              <w:t>stanford</w:t>
            </w:r>
            <w:proofErr w:type="spellEnd"/>
            <w:r>
              <w:rPr>
                <w:sz w:val="20"/>
                <w:szCs w:val="20"/>
              </w:rPr>
              <w:t xml:space="preserve"> group)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4436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9532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873E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1476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E2E2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07A6B1A2" w14:textId="77777777" w:rsidTr="00246899">
        <w:trPr>
          <w:trHeight w:val="54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57C5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Shut up and write  groups</w:t>
            </w:r>
            <w:r>
              <w:rPr>
                <w:sz w:val="20"/>
                <w:szCs w:val="20"/>
              </w:rPr>
              <w:t>: collective meeting to write their own research at the same time. They can also be places to share writing tips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1EF9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FA57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CB2D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4294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21AD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4F3FC060" w14:textId="77777777" w:rsidTr="00246899">
        <w:trPr>
          <w:trHeight w:val="54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47C7" w14:textId="77777777" w:rsidR="00B91BB8" w:rsidRDefault="00043763" w:rsidP="00702225">
            <w:pPr>
              <w:spacing w:beforeLines="0" w:before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>Academic publishing group: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network of academic commit to working on publishing together a number of projects. Members rotate in the leading role.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726A" w14:textId="77777777" w:rsidR="00B91BB8" w:rsidRDefault="00043763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0D2C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2176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627D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3F35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6AE86EEA" w14:textId="77777777" w:rsidTr="00246899">
        <w:trPr>
          <w:trHeight w:val="87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00E9" w14:textId="77777777" w:rsidR="00B91BB8" w:rsidRDefault="00043763" w:rsidP="00702225">
            <w:pPr>
              <w:spacing w:beforeLines="0" w:before="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Writing retreat</w:t>
            </w:r>
            <w:r>
              <w:t>:</w:t>
            </w:r>
            <w:r>
              <w:rPr>
                <w:sz w:val="20"/>
                <w:szCs w:val="20"/>
              </w:rPr>
              <w:t xml:space="preserve"> a group of researcher meet up in the same place to live together for several days. The time spent working is focused on writing a paper. The time  off work is mixture of free time on your own and moments to share and connect.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C2EA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3D6F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AE87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5DC3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F12F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91BB8" w14:paraId="262313DC" w14:textId="77777777" w:rsidTr="00246899">
        <w:trPr>
          <w:trHeight w:val="875"/>
        </w:trPr>
        <w:tc>
          <w:tcPr>
            <w:tcW w:w="8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F4DA" w14:textId="77777777" w:rsidR="00B91BB8" w:rsidRDefault="00043763" w:rsidP="00702225">
            <w:pPr>
              <w:spacing w:beforeLines="0"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(...)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3420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7CE0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81A1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D8AE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40DB" w14:textId="77777777" w:rsidR="00B91BB8" w:rsidRDefault="00B91BB8" w:rsidP="00702225">
            <w:pPr>
              <w:spacing w:beforeLines="0"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ABDB3F8" w14:textId="77777777" w:rsidR="00B91BB8" w:rsidRDefault="00B91BB8">
      <w:pPr>
        <w:spacing w:before="240" w:line="480" w:lineRule="auto"/>
        <w:rPr>
          <w:b/>
        </w:rPr>
      </w:pPr>
    </w:p>
    <w:p w14:paraId="4AADEACA" w14:textId="77777777" w:rsidR="00B91BB8" w:rsidRDefault="00043763">
      <w:pPr>
        <w:spacing w:before="240" w:line="480" w:lineRule="auto"/>
      </w:pPr>
      <w:r>
        <w:br w:type="page"/>
      </w:r>
    </w:p>
    <w:p w14:paraId="0D151BFB" w14:textId="77777777" w:rsidR="00B91BB8" w:rsidRDefault="00B91BB8">
      <w:pPr>
        <w:spacing w:before="240" w:line="240" w:lineRule="auto"/>
        <w:rPr>
          <w:b/>
        </w:rPr>
      </w:pPr>
    </w:p>
    <w:p w14:paraId="7DDF226E" w14:textId="77777777" w:rsidR="00B91BB8" w:rsidRDefault="00043763">
      <w:pPr>
        <w:spacing w:before="240" w:line="240" w:lineRule="auto"/>
        <w:rPr>
          <w:b/>
        </w:rPr>
      </w:pPr>
      <w:r>
        <w:rPr>
          <w:b/>
        </w:rPr>
        <w:t xml:space="preserve">Further resources </w:t>
      </w:r>
    </w:p>
    <w:p w14:paraId="7438C347" w14:textId="0629FCDE" w:rsidR="00B91BB8" w:rsidRDefault="00043763">
      <w:pPr>
        <w:spacing w:before="240" w:after="120"/>
        <w:rPr>
          <w:b/>
        </w:rPr>
      </w:pPr>
      <w:r>
        <w:t xml:space="preserve">Other academics have discussed how to overcome academic isolation and become integrated. </w:t>
      </w:r>
      <w:r w:rsidR="00702225">
        <w:br/>
      </w:r>
      <w:r>
        <w:rPr>
          <w:b/>
        </w:rPr>
        <w:t>You can learn more about it here:</w:t>
      </w:r>
    </w:p>
    <w:p w14:paraId="40A87B98" w14:textId="77777777" w:rsidR="00B91BB8" w:rsidRDefault="00043763">
      <w:pPr>
        <w:spacing w:before="240" w:line="240" w:lineRule="auto"/>
        <w:ind w:left="425" w:hanging="283"/>
      </w:pPr>
      <w:r>
        <w:t>Arbor A (n.d.). "</w:t>
      </w:r>
      <w:hyperlink r:id="rId8">
        <w:r>
          <w:rPr>
            <w:color w:val="1155CC"/>
            <w:u w:val="single"/>
          </w:rPr>
          <w:t>Making a Thesis or Dissertation Support Group Work for You</w:t>
        </w:r>
      </w:hyperlink>
      <w:r>
        <w:t>".  Rackham School of Graduate Studies University of Michigan.</w:t>
      </w:r>
    </w:p>
    <w:p w14:paraId="1A9A595A" w14:textId="77777777" w:rsidR="00B91BB8" w:rsidRDefault="00043763">
      <w:pPr>
        <w:spacing w:before="240" w:line="240" w:lineRule="auto"/>
        <w:ind w:left="425" w:hanging="283"/>
      </w:pPr>
      <w:proofErr w:type="spellStart"/>
      <w:r>
        <w:t>Belkhir</w:t>
      </w:r>
      <w:proofErr w:type="spellEnd"/>
      <w:r>
        <w:t xml:space="preserve">, M., </w:t>
      </w:r>
      <w:proofErr w:type="spellStart"/>
      <w:r>
        <w:t>Brouard</w:t>
      </w:r>
      <w:proofErr w:type="spellEnd"/>
      <w:r>
        <w:t xml:space="preserve">, M., </w:t>
      </w:r>
      <w:proofErr w:type="spellStart"/>
      <w:r>
        <w:t>Brunk</w:t>
      </w:r>
      <w:proofErr w:type="spellEnd"/>
      <w:r>
        <w:t xml:space="preserve">, K. H., </w:t>
      </w:r>
      <w:proofErr w:type="spellStart"/>
      <w:r>
        <w:t>Dalmoro</w:t>
      </w:r>
      <w:proofErr w:type="spellEnd"/>
      <w:r>
        <w:t xml:space="preserve">, M., Ferreira, M. C., </w:t>
      </w:r>
      <w:proofErr w:type="spellStart"/>
      <w:r>
        <w:t>Figueiredo</w:t>
      </w:r>
      <w:proofErr w:type="spellEnd"/>
      <w:r>
        <w:t xml:space="preserve">, B., Huff A., </w:t>
      </w:r>
      <w:proofErr w:type="spellStart"/>
      <w:r>
        <w:t>Scaraboto</w:t>
      </w:r>
      <w:proofErr w:type="spellEnd"/>
      <w:r>
        <w:t xml:space="preserve"> D., </w:t>
      </w:r>
      <w:proofErr w:type="spellStart"/>
      <w:r>
        <w:t>Sibai</w:t>
      </w:r>
      <w:proofErr w:type="spellEnd"/>
      <w:r>
        <w:t xml:space="preserve"> O., &amp; Smith A. N. (2019), Isolation in Globalizing Academic Fields: A Collaborative Autoethnography of Early Career Researchers. Academy of Management Learning and Education, Volume 18, No 2, pp. 261-285. </w:t>
      </w:r>
      <w:hyperlink r:id="rId9">
        <w:r>
          <w:rPr>
            <w:color w:val="1155CC"/>
            <w:u w:val="single"/>
          </w:rPr>
          <w:t>https://doi.org/10.5465/amle.2017.0329</w:t>
        </w:r>
      </w:hyperlink>
    </w:p>
    <w:p w14:paraId="2E629116" w14:textId="77777777" w:rsidR="00B91BB8" w:rsidRDefault="00043763">
      <w:pPr>
        <w:spacing w:before="240" w:line="240" w:lineRule="auto"/>
        <w:ind w:left="425" w:hanging="283"/>
      </w:pPr>
      <w:r>
        <w:t xml:space="preserve">Collaborative Autoethnography of Early Career Researchers. Academy of Management Learning and Education, Volume 18, No 2, pp. 261-285. </w:t>
      </w:r>
      <w:hyperlink r:id="rId10">
        <w:r>
          <w:rPr>
            <w:color w:val="1155CC"/>
            <w:u w:val="single"/>
          </w:rPr>
          <w:t>https://doi.org/10.5465/amle.2017.0329</w:t>
        </w:r>
      </w:hyperlink>
    </w:p>
    <w:p w14:paraId="1664C619" w14:textId="77777777" w:rsidR="00B91BB8" w:rsidRDefault="00043763">
      <w:pPr>
        <w:spacing w:before="240" w:line="240" w:lineRule="auto"/>
        <w:ind w:left="425" w:hanging="283"/>
      </w:pPr>
      <w:r>
        <w:t xml:space="preserve">Lee and </w:t>
      </w:r>
      <w:proofErr w:type="spellStart"/>
      <w:r>
        <w:t>Golde</w:t>
      </w:r>
      <w:proofErr w:type="spellEnd"/>
      <w:r>
        <w:t xml:space="preserve"> “</w:t>
      </w:r>
      <w:hyperlink r:id="rId11">
        <w:r>
          <w:rPr>
            <w:color w:val="1155CC"/>
            <w:u w:val="single"/>
          </w:rPr>
          <w:t xml:space="preserve">Starting an Effective Dissertation Writing Group” Hume Writing </w:t>
        </w:r>
        <w:proofErr w:type="spellStart"/>
        <w:r>
          <w:rPr>
            <w:color w:val="1155CC"/>
            <w:u w:val="single"/>
          </w:rPr>
          <w:t>Center</w:t>
        </w:r>
        <w:proofErr w:type="spellEnd"/>
        <w:r>
          <w:rPr>
            <w:color w:val="1155CC"/>
            <w:u w:val="single"/>
          </w:rPr>
          <w:t xml:space="preserve"> Graduate Student Workshop</w:t>
        </w:r>
      </w:hyperlink>
      <w:r>
        <w:t xml:space="preserve">". Stanford University. </w:t>
      </w:r>
    </w:p>
    <w:p w14:paraId="33105D0A" w14:textId="77777777" w:rsidR="00B91BB8" w:rsidRDefault="00043763">
      <w:pPr>
        <w:spacing w:before="240" w:line="240" w:lineRule="auto"/>
        <w:ind w:left="425" w:hanging="283"/>
      </w:pPr>
      <w:r>
        <w:t>Siders et al. (2021) “</w:t>
      </w:r>
      <w:hyperlink r:id="rId12">
        <w:r>
          <w:rPr>
            <w:color w:val="1155CC"/>
            <w:u w:val="single"/>
          </w:rPr>
          <w:t>How to beat isolation? Academic feedback groups fit the bill,  and promote growth as scholars and humans</w:t>
        </w:r>
      </w:hyperlink>
      <w:r>
        <w:t xml:space="preserve">” Nature </w:t>
      </w:r>
    </w:p>
    <w:p w14:paraId="15CE05B4" w14:textId="77777777" w:rsidR="00B91BB8" w:rsidRDefault="00043763">
      <w:pPr>
        <w:spacing w:before="240" w:line="240" w:lineRule="auto"/>
        <w:ind w:left="425" w:hanging="283"/>
      </w:pPr>
      <w:r>
        <w:t xml:space="preserve">Stanford’s Hume </w:t>
      </w:r>
      <w:proofErr w:type="spellStart"/>
      <w:r>
        <w:t>Center</w:t>
      </w:r>
      <w:proofErr w:type="spellEnd"/>
      <w:r>
        <w:t xml:space="preserve"> Academic (2016) "</w:t>
      </w:r>
      <w:hyperlink r:id="rId13">
        <w:r>
          <w:rPr>
            <w:color w:val="1155CC"/>
            <w:u w:val="single"/>
          </w:rPr>
          <w:t>Writing Group Dissertation writing groups - feedback and motivation</w:t>
        </w:r>
      </w:hyperlink>
      <w:r>
        <w:t>". http://gradlogic.org/</w:t>
      </w:r>
    </w:p>
    <w:p w14:paraId="1BBD7F4B" w14:textId="77777777" w:rsidR="00B91BB8" w:rsidRDefault="00043763">
      <w:pPr>
        <w:spacing w:before="240" w:line="240" w:lineRule="auto"/>
        <w:ind w:left="425" w:hanging="283"/>
      </w:pPr>
      <w:r>
        <w:t xml:space="preserve">Stanford’s Hume </w:t>
      </w:r>
      <w:proofErr w:type="spellStart"/>
      <w:r>
        <w:t>Center</w:t>
      </w:r>
      <w:proofErr w:type="spellEnd"/>
      <w:r>
        <w:t xml:space="preserve"> Academic (2016) "</w:t>
      </w:r>
      <w:hyperlink r:id="rId14">
        <w:r>
          <w:rPr>
            <w:color w:val="1155CC"/>
            <w:u w:val="single"/>
          </w:rPr>
          <w:t>Dissertation accelerators - Writing groups for productivity and support</w:t>
        </w:r>
      </w:hyperlink>
      <w:r>
        <w:t xml:space="preserve">". http://gradlogic.org/ </w:t>
      </w:r>
    </w:p>
    <w:p w14:paraId="4FC91CDD" w14:textId="77777777" w:rsidR="00B91BB8" w:rsidRDefault="00B91BB8">
      <w:pPr>
        <w:spacing w:before="240" w:line="240" w:lineRule="auto"/>
      </w:pPr>
    </w:p>
    <w:p w14:paraId="71652219" w14:textId="77777777" w:rsidR="00B91BB8" w:rsidRDefault="00B91BB8">
      <w:pPr>
        <w:spacing w:before="240" w:line="240" w:lineRule="auto"/>
      </w:pPr>
    </w:p>
    <w:p w14:paraId="4FDA14CA" w14:textId="77777777" w:rsidR="00B91BB8" w:rsidRDefault="00B91BB8">
      <w:pPr>
        <w:spacing w:before="240"/>
      </w:pPr>
    </w:p>
    <w:sectPr w:rsidR="00B91BB8">
      <w:headerReference w:type="default" r:id="rId15"/>
      <w:footerReference w:type="even" r:id="rId16"/>
      <w:footerReference w:type="default" r:id="rId17"/>
      <w:pgSz w:w="11900" w:h="16840"/>
      <w:pgMar w:top="1418" w:right="1134" w:bottom="1134" w:left="1134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0CF5" w14:textId="77777777" w:rsidR="00B215F3" w:rsidRDefault="00B215F3">
      <w:pPr>
        <w:spacing w:before="240" w:line="240" w:lineRule="auto"/>
      </w:pPr>
      <w:r>
        <w:separator/>
      </w:r>
    </w:p>
  </w:endnote>
  <w:endnote w:type="continuationSeparator" w:id="0">
    <w:p w14:paraId="68E3A9C1" w14:textId="77777777" w:rsidR="00B215F3" w:rsidRDefault="00B215F3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0712" w14:textId="77777777" w:rsidR="00B91BB8" w:rsidRDefault="00043763">
    <w:pPr>
      <w:spacing w:before="240" w:line="276" w:lineRule="auto"/>
      <w:rPr>
        <w:rFonts w:ascii="PT Sans" w:eastAsia="PT Sans" w:hAnsi="PT Sans" w:cs="PT Sans"/>
        <w:color w:val="000000"/>
      </w:rPr>
    </w:pPr>
    <w:r>
      <w:rPr>
        <w:rFonts w:ascii="PT Sans" w:eastAsia="PT Sans" w:hAnsi="PT Sans" w:cs="PT Sans"/>
        <w:color w:val="000000"/>
      </w:rPr>
      <w:fldChar w:fldCharType="begin"/>
    </w:r>
    <w:r>
      <w:rPr>
        <w:rFonts w:ascii="PT Sans" w:eastAsia="PT Sans" w:hAnsi="PT Sans" w:cs="PT Sans"/>
        <w:color w:val="000000"/>
      </w:rPr>
      <w:instrText>PAGE</w:instrText>
    </w:r>
    <w:r w:rsidR="00B215F3">
      <w:rPr>
        <w:rFonts w:ascii="PT Sans" w:eastAsia="PT Sans" w:hAnsi="PT Sans" w:cs="PT Sans"/>
        <w:color w:val="000000"/>
      </w:rPr>
      <w:fldChar w:fldCharType="separate"/>
    </w:r>
    <w:r>
      <w:rPr>
        <w:rFonts w:ascii="PT Sans" w:eastAsia="PT Sans" w:hAnsi="PT Sans" w:cs="PT Sans"/>
        <w:color w:val="000000"/>
      </w:rPr>
      <w:fldChar w:fldCharType="end"/>
    </w:r>
  </w:p>
  <w:p w14:paraId="1C072B29" w14:textId="77777777" w:rsidR="00B91BB8" w:rsidRDefault="00B91BB8">
    <w:pPr>
      <w:spacing w:before="240" w:line="276" w:lineRule="auto"/>
      <w:rPr>
        <w:rFonts w:ascii="PT Sans" w:eastAsia="PT Sans" w:hAnsi="PT Sans" w:cs="PT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B82C" w14:textId="2AA18BC9" w:rsidR="00B91BB8" w:rsidRDefault="00043763">
    <w:pPr>
      <w:spacing w:before="24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02225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243A2E07" w14:textId="5B46CF55" w:rsidR="00B91BB8" w:rsidRPr="00CF1C28" w:rsidRDefault="00CF1C28" w:rsidP="00CF1C28">
    <w:pPr>
      <w:spacing w:before="240" w:line="240" w:lineRule="auto"/>
      <w:ind w:right="255"/>
      <w:jc w:val="center"/>
      <w:rPr>
        <w:rFonts w:ascii="Arial" w:eastAsia="Arial" w:hAnsi="Arial" w:cs="Arial"/>
        <w:b/>
        <w:bCs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25017A6" wp14:editId="3B6DB525">
          <wp:simplePos x="0" y="0"/>
          <wp:positionH relativeFrom="column">
            <wp:posOffset>4897120</wp:posOffset>
          </wp:positionH>
          <wp:positionV relativeFrom="paragraph">
            <wp:posOffset>95038</wp:posOffset>
          </wp:positionV>
          <wp:extent cx="1055370" cy="174281"/>
          <wp:effectExtent l="0" t="0" r="0" b="381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89"/>
                  <a:stretch/>
                </pic:blipFill>
                <pic:spPr bwMode="auto">
                  <a:xfrm>
                    <a:off x="0" y="0"/>
                    <a:ext cx="1055370" cy="174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            </w:t>
    </w:r>
    <w:r w:rsidRPr="00CF1C28">
      <w:rPr>
        <w:rFonts w:ascii="Arial" w:eastAsia="Arial" w:hAnsi="Arial" w:cs="Arial"/>
        <w:b/>
        <w:bCs/>
        <w:color w:val="000000"/>
        <w:sz w:val="16"/>
        <w:szCs w:val="16"/>
      </w:rPr>
      <w:t>Doctoral Colloquium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03A8" w14:textId="77777777" w:rsidR="00B215F3" w:rsidRDefault="00B215F3">
      <w:pPr>
        <w:spacing w:before="240" w:line="240" w:lineRule="auto"/>
      </w:pPr>
      <w:r>
        <w:separator/>
      </w:r>
    </w:p>
  </w:footnote>
  <w:footnote w:type="continuationSeparator" w:id="0">
    <w:p w14:paraId="5A6001BF" w14:textId="77777777" w:rsidR="00B215F3" w:rsidRDefault="00B215F3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6228" w14:textId="77777777" w:rsidR="00B91BB8" w:rsidRDefault="00043763">
    <w:pPr>
      <w:spacing w:before="240" w:line="276" w:lineRule="auto"/>
      <w:rPr>
        <w:rFonts w:ascii="PT Sans" w:eastAsia="PT Sans" w:hAnsi="PT Sans" w:cs="PT Sans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E4980" wp14:editId="78665B0F">
          <wp:simplePos x="0" y="0"/>
          <wp:positionH relativeFrom="column">
            <wp:posOffset>-224154</wp:posOffset>
          </wp:positionH>
          <wp:positionV relativeFrom="paragraph">
            <wp:posOffset>40005</wp:posOffset>
          </wp:positionV>
          <wp:extent cx="1287780" cy="612292"/>
          <wp:effectExtent l="0" t="0" r="0" b="0"/>
          <wp:wrapSquare wrapText="bothSides" distT="0" distB="0" distL="0" distR="0"/>
          <wp:docPr id="9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 t="17639" b="31442"/>
                  <a:stretch>
                    <a:fillRect/>
                  </a:stretch>
                </pic:blipFill>
                <pic:spPr>
                  <a:xfrm>
                    <a:off x="0" y="0"/>
                    <a:ext cx="1287780" cy="612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6BEB"/>
    <w:multiLevelType w:val="multilevel"/>
    <w:tmpl w:val="E9061948"/>
    <w:lvl w:ilvl="0">
      <w:start w:val="1"/>
      <w:numFmt w:val="bullet"/>
      <w:lvlText w:val="●"/>
      <w:lvlJc w:val="left"/>
      <w:pPr>
        <w:ind w:left="567" w:hanging="207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B8"/>
    <w:rsid w:val="00043763"/>
    <w:rsid w:val="00246899"/>
    <w:rsid w:val="00702225"/>
    <w:rsid w:val="00AA5FF6"/>
    <w:rsid w:val="00B215F3"/>
    <w:rsid w:val="00B91BB8"/>
    <w:rsid w:val="00CF1C28"/>
    <w:rsid w:val="00D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D9D05"/>
  <w15:docId w15:val="{FEB80C92-FBD4-A94E-8935-FEAA98F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4"/>
        <w:szCs w:val="24"/>
        <w:lang w:val="en-GB" w:eastAsia="en-GB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E6"/>
    <w:pPr>
      <w:pBdr>
        <w:top w:val="nil"/>
        <w:left w:val="nil"/>
        <w:bottom w:val="nil"/>
        <w:right w:val="nil"/>
        <w:between w:val="nil"/>
      </w:pBdr>
      <w:spacing w:beforeLines="100" w:before="100"/>
    </w:pPr>
    <w:rPr>
      <w:rFonts w:cs="Tahom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391712"/>
    <w:pPr>
      <w:pBdr>
        <w:top w:val="nil"/>
        <w:left w:val="nil"/>
        <w:bottom w:val="nil"/>
        <w:right w:val="nil"/>
        <w:between w:val="nil"/>
      </w:pBdr>
      <w:spacing w:before="120" w:line="276" w:lineRule="auto"/>
    </w:pPr>
    <w:rPr>
      <w:rFonts w:ascii="PT Sans" w:hAnsi="PT San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FD5E27"/>
    <w:pPr>
      <w:snapToGrid w:val="0"/>
      <w:spacing w:before="100" w:beforeAutospacing="1" w:after="100" w:afterAutospacing="1" w:line="480" w:lineRule="auto"/>
      <w:contextualSpacing/>
    </w:pPr>
  </w:style>
  <w:style w:type="character" w:customStyle="1" w:styleId="apple-tab-span">
    <w:name w:val="apple-tab-span"/>
    <w:basedOn w:val="DefaultParagraphFont"/>
    <w:rsid w:val="00FD5E27"/>
  </w:style>
  <w:style w:type="paragraph" w:styleId="ListParagraph">
    <w:name w:val="List Paragraph"/>
    <w:basedOn w:val="Normal0"/>
    <w:uiPriority w:val="34"/>
    <w:qFormat/>
    <w:rsid w:val="008C19E3"/>
    <w:pPr>
      <w:snapToGrid w:val="0"/>
      <w:spacing w:line="480" w:lineRule="auto"/>
      <w:ind w:left="720"/>
      <w:contextualSpacing/>
    </w:pPr>
    <w:rPr>
      <w:rFonts w:eastAsia="Calibri" w:cstheme="minorBidi"/>
      <w:lang w:eastAsia="en-US"/>
    </w:rPr>
  </w:style>
  <w:style w:type="paragraph" w:styleId="Footer">
    <w:name w:val="footer"/>
    <w:basedOn w:val="Normal0"/>
    <w:link w:val="FooterChar"/>
    <w:uiPriority w:val="99"/>
    <w:unhideWhenUsed/>
    <w:rsid w:val="00253106"/>
    <w:pPr>
      <w:tabs>
        <w:tab w:val="center" w:pos="4680"/>
        <w:tab w:val="right" w:pos="9360"/>
      </w:tabs>
      <w:snapToGrid w:val="0"/>
      <w:spacing w:line="480" w:lineRule="auto"/>
      <w:contextualSpacing/>
    </w:pPr>
    <w:rPr>
      <w:rFonts w:eastAsia="Calibr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310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53106"/>
  </w:style>
  <w:style w:type="paragraph" w:styleId="Header">
    <w:name w:val="header"/>
    <w:basedOn w:val="Normal0"/>
    <w:link w:val="HeaderChar"/>
    <w:uiPriority w:val="99"/>
    <w:unhideWhenUsed/>
    <w:rsid w:val="00253106"/>
    <w:pPr>
      <w:tabs>
        <w:tab w:val="center" w:pos="4680"/>
        <w:tab w:val="right" w:pos="9360"/>
      </w:tabs>
      <w:snapToGrid w:val="0"/>
      <w:spacing w:line="480" w:lineRule="auto"/>
      <w:contextualSpacing/>
    </w:pPr>
    <w:rPr>
      <w:rFonts w:eastAsia="Calibr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3106"/>
    <w:rPr>
      <w:rFonts w:ascii="Times New Roman" w:hAnsi="Times New Roman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AC265D"/>
    <w:pPr>
      <w:snapToGrid w:val="0"/>
      <w:spacing w:line="480" w:lineRule="auto"/>
      <w:contextualSpacing/>
    </w:pPr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8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231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B4366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43A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9D3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1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grc.unm.edu/writing-groups/documents/making-writing-groups-workforyou.pdf" TargetMode="External"/><Relationship Id="rId13" Type="http://schemas.openxmlformats.org/officeDocument/2006/relationships/hyperlink" Target="http://gradlogic.org/dw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e.com/articles/d41586-020-01432-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mgrc.unm.edu/writing-groups/documents/starting-an-effective-group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5465/amle.2017.03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5465/amle.2017.0329" TargetMode="External"/><Relationship Id="rId14" Type="http://schemas.openxmlformats.org/officeDocument/2006/relationships/hyperlink" Target="http://gradlogic.org/diss-acce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LVtfTqM4lyd4pRF97FB5qqOhw==">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Marcia Ferreira (Staff)</cp:lastModifiedBy>
  <cp:revision>3</cp:revision>
  <cp:lastPrinted>2021-11-25T07:34:00Z</cp:lastPrinted>
  <dcterms:created xsi:type="dcterms:W3CDTF">2021-11-25T07:43:00Z</dcterms:created>
  <dcterms:modified xsi:type="dcterms:W3CDTF">2021-11-25T07:47:00Z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id="http://www.zotero.org/styles/journal-of-consumer-research"/&gt;&lt;format class="1"/&gt;&lt;/info&gt;PAPERS2_INFO_END</vt:lpwstr>
  </property>
  <property fmtid="{D5CDD505-2E9C-101B-9397-08002B2CF9AE}" pid="3" name="ContentTypeId">
    <vt:lpwstr>0x0101007C83DD4450ECE749B8DF0A51980D5DE6</vt:lpwstr>
  </property>
</Properties>
</file>