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7030a0"/>
          <w:sz w:val="36"/>
          <w:szCs w:val="36"/>
        </w:rPr>
      </w:pPr>
      <w:r w:rsidDel="00000000" w:rsidR="00000000" w:rsidRPr="00000000">
        <w:rPr>
          <w:rFonts w:ascii="Arial" w:cs="Arial" w:eastAsia="Arial" w:hAnsi="Arial"/>
          <w:b w:val="1"/>
          <w:color w:val="7030a0"/>
          <w:sz w:val="36"/>
          <w:szCs w:val="36"/>
          <w:rtl w:val="0"/>
        </w:rPr>
        <w:t xml:space="preserve">Participant worksheet: </w:t>
      </w:r>
      <w:r w:rsidDel="00000000" w:rsidR="00000000" w:rsidRPr="00000000">
        <w:rPr>
          <w:rFonts w:ascii="Arial" w:cs="Arial" w:eastAsia="Arial" w:hAnsi="Arial"/>
          <w:b w:val="1"/>
          <w:color w:val="7030a0"/>
          <w:sz w:val="36"/>
          <w:szCs w:val="36"/>
          <w:rtl w:val="0"/>
        </w:rPr>
        <w:t xml:space="preserve">Benchmarking the Gender Equality Act (2020) standards and requirements to my organisation</w:t>
      </w:r>
    </w:p>
    <w:p w:rsidR="00000000" w:rsidDel="00000000" w:rsidP="00000000" w:rsidRDefault="00000000" w:rsidRPr="00000000" w14:paraId="00000002">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This template allows you to assess standards and determine if they would work or not for the organisation you work or volunteer for. The Gender Equality Act (2020) was selected as an example of how this method can be used to compare standards that are set out in government documents.  </w:t>
      </w:r>
    </w:p>
    <w:p w:rsidR="00000000" w:rsidDel="00000000" w:rsidP="00000000" w:rsidRDefault="00000000" w:rsidRPr="00000000" w14:paraId="00000003">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Standards set out the recommended minimum level of workplace gender reporting.</w:t>
      </w:r>
    </w:p>
    <w:p w:rsidR="00000000" w:rsidDel="00000000" w:rsidP="00000000" w:rsidRDefault="00000000" w:rsidRPr="00000000" w14:paraId="0000000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05">
      <w:pPr>
        <w:rPr>
          <w:rFonts w:ascii="Arial" w:cs="Arial" w:eastAsia="Arial" w:hAnsi="Arial"/>
          <w:highlight w:val="yellow"/>
        </w:rPr>
      </w:pPr>
      <w:r w:rsidDel="00000000" w:rsidR="00000000" w:rsidRPr="00000000">
        <w:rPr>
          <w:rFonts w:ascii="Arial" w:cs="Arial" w:eastAsia="Arial" w:hAnsi="Arial"/>
          <w:b w:val="1"/>
          <w:highlight w:val="white"/>
          <w:rtl w:val="0"/>
        </w:rPr>
        <w:t xml:space="preserve">Tip:</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remember, this activity is about workforce equality policy development for your organisation.</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2"/>
          <w:szCs w:val="22"/>
          <w:highlight w:val="yellow"/>
        </w:rPr>
      </w:pPr>
      <w:r w:rsidDel="00000000" w:rsidR="00000000" w:rsidRPr="00000000">
        <w:rPr>
          <w:rtl w:val="0"/>
        </w:rPr>
      </w:r>
    </w:p>
    <w:tbl>
      <w:tblPr>
        <w:tblStyle w:val="Table1"/>
        <w:tblW w:w="21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6015"/>
        <w:gridCol w:w="5595"/>
        <w:gridCol w:w="6000"/>
        <w:tblGridChange w:id="0">
          <w:tblGrid>
            <w:gridCol w:w="3936"/>
            <w:gridCol w:w="6015"/>
            <w:gridCol w:w="5595"/>
            <w:gridCol w:w="6000"/>
          </w:tblGrid>
        </w:tblGridChange>
      </w:tblGrid>
      <w:tr>
        <w:trPr>
          <w:cantSplit w:val="0"/>
          <w:trHeight w:val="865" w:hRule="atLeast"/>
          <w:tblHeader w:val="0"/>
        </w:trPr>
        <w:tc>
          <w:tcPr>
            <w:gridSpan w:val="4"/>
          </w:tcPr>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color w:val="4b255c"/>
                <w:sz w:val="32"/>
                <w:szCs w:val="32"/>
                <w:rtl w:val="0"/>
              </w:rPr>
              <w:t xml:space="preserve">Gender Equality Act (2020) in my organisation</w:t>
            </w: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Obligations</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rtl w:val="0"/>
              </w:rPr>
              <w:t xml:space="preserve">Standards and Requirements</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List the reasons why the requirements would </w:t>
            </w:r>
            <w:r w:rsidDel="00000000" w:rsidR="00000000" w:rsidRPr="00000000">
              <w:rPr>
                <w:rFonts w:ascii="Arial" w:cs="Arial" w:eastAsia="Arial" w:hAnsi="Arial"/>
                <w:b w:val="1"/>
                <w:color w:val="000000"/>
                <w:u w:val="single"/>
                <w:rtl w:val="0"/>
              </w:rPr>
              <w:t xml:space="preserve">not </w:t>
            </w:r>
            <w:r w:rsidDel="00000000" w:rsidR="00000000" w:rsidRPr="00000000">
              <w:rPr>
                <w:rFonts w:ascii="Arial" w:cs="Arial" w:eastAsia="Arial" w:hAnsi="Arial"/>
                <w:b w:val="1"/>
                <w:color w:val="000000"/>
                <w:rtl w:val="0"/>
              </w:rPr>
              <w:t xml:space="preserve">work for your organisation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(Tip: Think about systems, resources and organisational culture)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b w:val="1"/>
                <w:color w:val="000000"/>
                <w:rtl w:val="0"/>
              </w:rPr>
              <w:t xml:space="preserve">List the reasons why the requirements would work for</w:t>
            </w:r>
            <w:r w:rsidDel="00000000" w:rsidR="00000000" w:rsidRPr="00000000">
              <w:rPr>
                <w:rFonts w:ascii="Arial" w:cs="Arial" w:eastAsia="Arial" w:hAnsi="Arial"/>
                <w:b w:val="1"/>
                <w:color w:val="000000"/>
                <w:shd w:fill="ff9900" w:val="clear"/>
                <w:rtl w:val="0"/>
              </w:rPr>
              <w:t xml:space="preserve"> </w:t>
            </w:r>
            <w:r w:rsidDel="00000000" w:rsidR="00000000" w:rsidRPr="00000000">
              <w:rPr>
                <w:rFonts w:ascii="Arial" w:cs="Arial" w:eastAsia="Arial" w:hAnsi="Arial"/>
                <w:b w:val="1"/>
                <w:color w:val="000000"/>
                <w:rtl w:val="0"/>
              </w:rPr>
              <w:t xml:space="preserve">your organisation. </w:t>
            </w:r>
            <w:r w:rsidDel="00000000" w:rsidR="00000000" w:rsidRPr="00000000">
              <w:rPr>
                <w:rFonts w:ascii="Arial" w:cs="Arial" w:eastAsia="Arial" w:hAnsi="Arial"/>
                <w:i w:val="1"/>
                <w:color w:val="000000"/>
                <w:rtl w:val="0"/>
              </w:rPr>
              <w:t xml:space="preserve">(Tip: Thi</w:t>
            </w:r>
            <w:r w:rsidDel="00000000" w:rsidR="00000000" w:rsidRPr="00000000">
              <w:rPr>
                <w:rFonts w:ascii="Arial" w:cs="Arial" w:eastAsia="Arial" w:hAnsi="Arial"/>
                <w:i w:val="1"/>
                <w:rtl w:val="0"/>
              </w:rPr>
              <w:t xml:space="preserve">nk about systems, resources and organisational culture)</w:t>
            </w:r>
            <w:r w:rsidDel="00000000" w:rsidR="00000000" w:rsidRPr="00000000">
              <w:rPr>
                <w:rtl w:val="0"/>
              </w:rPr>
            </w:r>
          </w:p>
        </w:tc>
      </w:tr>
      <w:tr>
        <w:trPr>
          <w:cantSplit w:val="0"/>
          <w:trHeight w:val="865" w:hRule="atLeast"/>
          <w:tblHeader w:val="0"/>
        </w:trPr>
        <w:tc>
          <w:tcPr>
            <w:shd w:fill="ffffff" w:val="clear"/>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PLAN: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rPr>
            </w:pPr>
            <w:r w:rsidDel="00000000" w:rsidR="00000000" w:rsidRPr="00000000">
              <w:rPr>
                <w:rFonts w:ascii="Arial" w:cs="Arial" w:eastAsia="Arial" w:hAnsi="Arial"/>
                <w:color w:val="000000"/>
                <w:rtl w:val="0"/>
              </w:rPr>
              <w:t xml:space="preserve">Gender Equality Action Plan.</w:t>
            </w:r>
          </w:p>
          <w:p w:rsidR="00000000" w:rsidDel="00000000" w:rsidP="00000000" w:rsidRDefault="00000000" w:rsidRPr="00000000" w14:paraId="00000015">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16">
            <w:pPr>
              <w:rPr>
                <w:rFonts w:ascii="Arial" w:cs="Arial" w:eastAsia="Arial" w:hAnsi="Arial"/>
                <w:highlight w:val="cyan"/>
              </w:rPr>
            </w:pPr>
            <w:r w:rsidDel="00000000" w:rsidR="00000000" w:rsidRPr="00000000">
              <w:rPr>
                <w:rFonts w:ascii="Arial" w:cs="Arial" w:eastAsia="Arial" w:hAnsi="Arial"/>
                <w:rtl w:val="0"/>
              </w:rPr>
              <w:t xml:space="preserve">Collect data on the overall gender composition of your organisation’s workforce, by: employment basis (full time, part time and casual) and characteristics such as: racism Aboriginality, religion, ethnicity, disability, age, sexual orientation and gender identity</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18">
            <w:pPr>
              <w:ind w:left="425" w:firstLine="0"/>
              <w:rPr>
                <w:rFonts w:ascii="Arial" w:cs="Arial" w:eastAsia="Arial" w:hAnsi="Arial"/>
              </w:rPr>
            </w:pPr>
            <w:r w:rsidDel="00000000" w:rsidR="00000000" w:rsidRPr="00000000">
              <w:rPr>
                <w:rFonts w:ascii="Arial" w:cs="Arial" w:eastAsia="Arial" w:hAnsi="Arial"/>
                <w:rtl w:val="0"/>
              </w:rPr>
              <w:t xml:space="preserve"> </w:t>
            </w:r>
          </w:p>
        </w:tc>
        <w:tc>
          <w:tcPr>
            <w:shd w:fill="ffffff" w:val="clear"/>
          </w:tcPr>
          <w:p w:rsidR="00000000" w:rsidDel="00000000" w:rsidP="00000000" w:rsidRDefault="00000000" w:rsidRPr="00000000" w14:paraId="00000019">
            <w:pPr>
              <w:ind w:left="425" w:firstLine="0"/>
              <w:rPr>
                <w:rFonts w:ascii="Arial" w:cs="Arial" w:eastAsia="Arial" w:hAnsi="Arial"/>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1A">
            <w:pPr>
              <w:spacing w:after="280" w:lineRule="auto"/>
              <w:rPr>
                <w:rFonts w:ascii="Arial" w:cs="Arial" w:eastAsia="Arial" w:hAnsi="Arial"/>
                <w:color w:val="011a3c"/>
              </w:rPr>
            </w:pPr>
            <w:r w:rsidDel="00000000" w:rsidR="00000000" w:rsidRPr="00000000">
              <w:rPr>
                <w:rFonts w:ascii="Arial" w:cs="Arial" w:eastAsia="Arial" w:hAnsi="Arial"/>
                <w:color w:val="011a3c"/>
                <w:rtl w:val="0"/>
              </w:rPr>
              <w:t xml:space="preserve">PROGRESS</w:t>
            </w:r>
          </w:p>
          <w:p w:rsidR="00000000" w:rsidDel="00000000" w:rsidP="00000000" w:rsidRDefault="00000000" w:rsidRPr="00000000" w14:paraId="0000001B">
            <w:pPr>
              <w:spacing w:after="280" w:lineRule="auto"/>
              <w:rPr>
                <w:rFonts w:ascii="Arial" w:cs="Arial" w:eastAsia="Arial" w:hAnsi="Arial"/>
                <w:color w:val="011a3c"/>
              </w:rPr>
            </w:pPr>
            <w:r w:rsidDel="00000000" w:rsidR="00000000" w:rsidRPr="00000000">
              <w:rPr>
                <w:rFonts w:ascii="Arial" w:cs="Arial" w:eastAsia="Arial" w:hAnsi="Arial"/>
                <w:rtl w:val="0"/>
              </w:rPr>
              <w:t xml:space="preserve">Publicly report the progress being made by the organisation you work/volunteer for in relation to workplace gender equality.</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Progress reports need to include a list of the policies, programs and services that are subject to a gender impact assessment </w:t>
            </w:r>
          </w:p>
        </w:tc>
        <w:tc>
          <w:tcPr/>
          <w:p w:rsidR="00000000" w:rsidDel="00000000" w:rsidP="00000000" w:rsidRDefault="00000000" w:rsidRPr="00000000" w14:paraId="0000001E">
            <w:pPr>
              <w:ind w:left="720" w:firstLine="0"/>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865" w:hRule="atLeast"/>
          <w:tblHeader w:val="0"/>
        </w:trPr>
        <w:tc>
          <w:tcPr>
            <w:shd w:fill="ffffff" w:val="clear"/>
          </w:tcPr>
          <w:p w:rsidR="00000000" w:rsidDel="00000000" w:rsidP="00000000" w:rsidRDefault="00000000" w:rsidRPr="00000000" w14:paraId="00000020">
            <w:pPr>
              <w:spacing w:after="280" w:lineRule="auto"/>
              <w:rPr>
                <w:rFonts w:ascii="Arial" w:cs="Arial" w:eastAsia="Arial" w:hAnsi="Arial"/>
              </w:rPr>
            </w:pPr>
            <w:r w:rsidDel="00000000" w:rsidR="00000000" w:rsidRPr="00000000">
              <w:rPr>
                <w:rFonts w:ascii="Arial" w:cs="Arial" w:eastAsia="Arial" w:hAnsi="Arial"/>
                <w:rtl w:val="0"/>
              </w:rPr>
              <w:t xml:space="preserve">PROMOTE</w:t>
            </w:r>
          </w:p>
          <w:p w:rsidR="00000000" w:rsidDel="00000000" w:rsidP="00000000" w:rsidRDefault="00000000" w:rsidRPr="00000000" w14:paraId="00000021">
            <w:pPr>
              <w:spacing w:after="280" w:lineRule="auto"/>
              <w:rPr>
                <w:rFonts w:ascii="Arial" w:cs="Arial" w:eastAsia="Arial" w:hAnsi="Arial"/>
                <w:color w:val="000000"/>
              </w:rPr>
            </w:pPr>
            <w:r w:rsidDel="00000000" w:rsidR="00000000" w:rsidRPr="00000000">
              <w:rPr>
                <w:rFonts w:ascii="Arial" w:cs="Arial" w:eastAsia="Arial" w:hAnsi="Arial"/>
                <w:rtl w:val="0"/>
              </w:rPr>
              <w:t xml:space="preserve">Promote</w:t>
            </w:r>
            <w:r w:rsidDel="00000000" w:rsidR="00000000" w:rsidRPr="00000000">
              <w:rPr>
                <w:rFonts w:ascii="Arial" w:cs="Arial" w:eastAsia="Arial" w:hAnsi="Arial"/>
                <w:color w:val="000000"/>
                <w:rtl w:val="0"/>
              </w:rPr>
              <w:t xml:space="preserve"> gender equality in organisational policies and services that impact your community.</w:t>
            </w:r>
          </w:p>
          <w:p w:rsidR="00000000" w:rsidDel="00000000" w:rsidP="00000000" w:rsidRDefault="00000000" w:rsidRPr="00000000" w14:paraId="00000022">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Under section 7 of the Act (Duty to promote gender equality), a public sector organisation delivers services that consider, support and encourage gender equality.</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REPORT</w:t>
            </w:r>
          </w:p>
          <w:p w:rsidR="00000000" w:rsidDel="00000000" w:rsidP="00000000" w:rsidRDefault="00000000" w:rsidRPr="00000000" w14:paraId="00000027">
            <w:pPr>
              <w:rPr>
                <w:rFonts w:ascii="Arial" w:cs="Arial" w:eastAsia="Arial" w:hAnsi="Arial"/>
                <w:color w:val="000000"/>
              </w:rPr>
            </w:pPr>
            <w:r w:rsidDel="00000000" w:rsidR="00000000" w:rsidRPr="00000000">
              <w:rPr>
                <w:rFonts w:ascii="Arial" w:cs="Arial" w:eastAsia="Arial" w:hAnsi="Arial"/>
                <w:color w:val="000000"/>
                <w:rtl w:val="0"/>
              </w:rPr>
              <w:t xml:space="preserve">Complete your organisations</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rtl w:val="0"/>
                </w:rPr>
                <w:t xml:space="preserve">gender impact assessments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to think about how policies and services will meet the needs</w:t>
            </w:r>
            <w:r w:rsidDel="00000000" w:rsidR="00000000" w:rsidRPr="00000000">
              <w:rPr>
                <w:rFonts w:ascii="Arial" w:cs="Arial" w:eastAsia="Arial" w:hAnsi="Arial"/>
                <w:rtl w:val="0"/>
              </w:rPr>
              <w:t xml:space="preserve"> the different needs of women, men and gender diverse people.</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tc>
        <w:tc>
          <w:tcPr/>
          <w:p w:rsidR="00000000" w:rsidDel="00000000" w:rsidP="00000000" w:rsidRDefault="00000000" w:rsidRPr="00000000" w14:paraId="00000029">
            <w:pPr>
              <w:spacing w:after="280" w:lineRule="auto"/>
              <w:rPr>
                <w:rFonts w:ascii="Arial" w:cs="Arial" w:eastAsia="Arial" w:hAnsi="Arial"/>
              </w:rPr>
            </w:pPr>
            <w:r w:rsidDel="00000000" w:rsidR="00000000" w:rsidRPr="00000000">
              <w:rPr>
                <w:rFonts w:ascii="Arial" w:cs="Arial" w:eastAsia="Arial" w:hAnsi="Arial"/>
                <w:rtl w:val="0"/>
              </w:rPr>
              <w:t xml:space="preserve">Explain how the policy, program or service will be changed to better support Victorians of all genders and promote gender equality</w:t>
            </w:r>
          </w:p>
        </w:tc>
        <w:tc>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r>
    </w:tbl>
    <w:p w:rsidR="00000000" w:rsidDel="00000000" w:rsidP="00000000" w:rsidRDefault="00000000" w:rsidRPr="00000000" w14:paraId="0000002C">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44"/>
          <w:szCs w:val="44"/>
          <w:highlight w:val="white"/>
        </w:rPr>
      </w:pPr>
      <w:r w:rsidDel="00000000" w:rsidR="00000000" w:rsidRPr="00000000">
        <w:rPr>
          <w:rFonts w:ascii="Arial" w:cs="Arial" w:eastAsia="Arial" w:hAnsi="Arial"/>
          <w:b w:val="1"/>
          <w:highlight w:val="white"/>
          <w:rtl w:val="0"/>
        </w:rPr>
        <w:t xml:space="preserve">Learning outcome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202124"/>
          <w:sz w:val="20"/>
          <w:szCs w:val="20"/>
          <w:highlight w:val="white"/>
          <w:rtl w:val="0"/>
        </w:rPr>
        <w:t xml:space="preserve">Align your service and advocacy efforts to a legislative framework. </w:t>
      </w:r>
      <w:r w:rsidDel="00000000" w:rsidR="00000000" w:rsidRPr="00000000">
        <w:rPr>
          <w:rtl w:val="0"/>
        </w:rPr>
      </w:r>
    </w:p>
    <w:p w:rsidR="00000000" w:rsidDel="00000000" w:rsidP="00000000" w:rsidRDefault="00000000" w:rsidRPr="00000000" w14:paraId="0000002E">
      <w:pPr>
        <w:rPr>
          <w:rFonts w:ascii="Arial" w:cs="Arial" w:eastAsia="Arial" w:hAnsi="Arial"/>
          <w:b w:val="1"/>
          <w:sz w:val="44"/>
          <w:szCs w:val="44"/>
        </w:rPr>
      </w:pPr>
      <w:r w:rsidDel="00000000" w:rsidR="00000000" w:rsidRPr="00000000">
        <w:rPr>
          <w:rtl w:val="0"/>
        </w:rPr>
      </w:r>
    </w:p>
    <w:sectPr>
      <w:headerReference r:id="rId9" w:type="default"/>
      <w:footerReference r:id="rId10" w:type="default"/>
      <w:pgSz w:h="16840" w:w="23820" w:orient="landscape"/>
      <w:pgMar w:bottom="1440" w:top="1440" w:left="1440" w:right="1440" w:header="708"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The Act requires organisations to consider these when developing strategies and measures to promote gender equality. (Source: Commission for Gender Equality in the Public Sector)</w:t>
      </w:r>
    </w:p>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rPr>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-903766</wp:posOffset>
          </wp:positionH>
          <wp:positionV relativeFrom="paragraph">
            <wp:posOffset>-449578</wp:posOffset>
          </wp:positionV>
          <wp:extent cx="15120644" cy="91508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20644" cy="9150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919E7"/>
    <w:pPr>
      <w:tabs>
        <w:tab w:val="center" w:pos="4513"/>
        <w:tab w:val="right" w:pos="9026"/>
      </w:tabs>
    </w:pPr>
    <w:rPr>
      <w:sz w:val="22"/>
      <w:szCs w:val="22"/>
    </w:rPr>
  </w:style>
  <w:style w:type="character" w:styleId="HeaderChar" w:customStyle="1">
    <w:name w:val="Header Char"/>
    <w:basedOn w:val="DefaultParagraphFont"/>
    <w:link w:val="Header"/>
    <w:uiPriority w:val="99"/>
    <w:rsid w:val="00D919E7"/>
    <w:rPr>
      <w:rFonts w:eastAsiaTheme="minorEastAsia"/>
      <w:sz w:val="22"/>
      <w:szCs w:val="22"/>
    </w:rPr>
  </w:style>
  <w:style w:type="table" w:styleId="TableGrid">
    <w:name w:val="Table Grid"/>
    <w:basedOn w:val="TableNormal"/>
    <w:uiPriority w:val="39"/>
    <w:rsid w:val="00D919E7"/>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pl-text-label" w:customStyle="1">
    <w:name w:val="rpl-text-label"/>
    <w:basedOn w:val="DefaultParagraphFont"/>
    <w:rsid w:val="00D919E7"/>
  </w:style>
  <w:style w:type="paragraph" w:styleId="FootnoteText">
    <w:name w:val="footnote text"/>
    <w:basedOn w:val="Normal"/>
    <w:link w:val="FootnoteTextChar"/>
    <w:uiPriority w:val="99"/>
    <w:semiHidden w:val="1"/>
    <w:unhideWhenUsed w:val="1"/>
    <w:rsid w:val="00D919E7"/>
    <w:rPr>
      <w:sz w:val="20"/>
      <w:szCs w:val="20"/>
    </w:rPr>
  </w:style>
  <w:style w:type="character" w:styleId="FootnoteTextChar" w:customStyle="1">
    <w:name w:val="Footnote Text Char"/>
    <w:basedOn w:val="DefaultParagraphFont"/>
    <w:link w:val="FootnoteText"/>
    <w:uiPriority w:val="99"/>
    <w:semiHidden w:val="1"/>
    <w:rsid w:val="00D919E7"/>
    <w:rPr>
      <w:rFonts w:eastAsiaTheme="minorEastAsia"/>
      <w:sz w:val="20"/>
      <w:szCs w:val="20"/>
    </w:rPr>
  </w:style>
  <w:style w:type="character" w:styleId="FootnoteReference">
    <w:name w:val="footnote reference"/>
    <w:basedOn w:val="DefaultParagraphFont"/>
    <w:uiPriority w:val="99"/>
    <w:semiHidden w:val="1"/>
    <w:unhideWhenUsed w:val="1"/>
    <w:rsid w:val="00D919E7"/>
    <w:rPr>
      <w:vertAlign w:val="superscript"/>
    </w:rPr>
  </w:style>
  <w:style w:type="paragraph" w:styleId="NormalWeb">
    <w:name w:val="Normal (Web)"/>
    <w:basedOn w:val="Normal"/>
    <w:uiPriority w:val="99"/>
    <w:semiHidden w:val="1"/>
    <w:unhideWhenUsed w:val="1"/>
    <w:rsid w:val="00D919E7"/>
    <w:pPr>
      <w:spacing w:after="100" w:afterAutospacing="1" w:before="100" w:beforeAutospacing="1"/>
    </w:pPr>
    <w:rPr>
      <w:rFonts w:ascii="Times New Roman" w:cs="Times New Roman" w:eastAsia="Times New Roman" w:hAnsi="Times New Roman"/>
      <w:lang w:eastAsia="en-GB"/>
    </w:rPr>
  </w:style>
  <w:style w:type="character" w:styleId="CommentReference">
    <w:name w:val="annotation reference"/>
    <w:basedOn w:val="DefaultParagraphFont"/>
    <w:uiPriority w:val="99"/>
    <w:semiHidden w:val="1"/>
    <w:unhideWhenUsed w:val="1"/>
    <w:rsid w:val="00D919E7"/>
    <w:rPr>
      <w:sz w:val="16"/>
      <w:szCs w:val="16"/>
    </w:rPr>
  </w:style>
  <w:style w:type="paragraph" w:styleId="CommentText">
    <w:name w:val="annotation text"/>
    <w:basedOn w:val="Normal"/>
    <w:link w:val="CommentTextChar"/>
    <w:uiPriority w:val="99"/>
    <w:semiHidden w:val="1"/>
    <w:unhideWhenUsed w:val="1"/>
    <w:rsid w:val="00D919E7"/>
    <w:pPr>
      <w:spacing w:after="160"/>
    </w:pPr>
    <w:rPr>
      <w:sz w:val="20"/>
      <w:szCs w:val="20"/>
    </w:rPr>
  </w:style>
  <w:style w:type="character" w:styleId="CommentTextChar" w:customStyle="1">
    <w:name w:val="Comment Text Char"/>
    <w:basedOn w:val="DefaultParagraphFont"/>
    <w:link w:val="CommentText"/>
    <w:uiPriority w:val="99"/>
    <w:semiHidden w:val="1"/>
    <w:rsid w:val="00D919E7"/>
    <w:rPr>
      <w:rFonts w:eastAsiaTheme="minorEastAsia"/>
      <w:sz w:val="20"/>
      <w:szCs w:val="20"/>
    </w:rPr>
  </w:style>
  <w:style w:type="paragraph" w:styleId="ListParagraph">
    <w:name w:val="List Paragraph"/>
    <w:basedOn w:val="Normal"/>
    <w:uiPriority w:val="34"/>
    <w:qFormat w:val="1"/>
    <w:rsid w:val="00D919E7"/>
    <w:pPr>
      <w:spacing w:after="160" w:line="259" w:lineRule="auto"/>
      <w:ind w:left="720"/>
      <w:contextualSpacing w:val="1"/>
    </w:pPr>
    <w:rPr>
      <w:sz w:val="22"/>
      <w:szCs w:val="22"/>
    </w:rPr>
  </w:style>
  <w:style w:type="paragraph" w:styleId="BalloonText">
    <w:name w:val="Balloon Text"/>
    <w:basedOn w:val="Normal"/>
    <w:link w:val="BalloonTextChar"/>
    <w:uiPriority w:val="99"/>
    <w:semiHidden w:val="1"/>
    <w:unhideWhenUsed w:val="1"/>
    <w:rsid w:val="00D919E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919E7"/>
    <w:rPr>
      <w:rFonts w:ascii="Times New Roman" w:cs="Times New Roman" w:hAnsi="Times New Roman" w:eastAsiaTheme="minorEastAsia"/>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paragraph" w:styleId="Footer">
    <w:name w:val="footer"/>
    <w:basedOn w:val="Normal"/>
    <w:link w:val="FooterChar"/>
    <w:uiPriority w:val="99"/>
    <w:unhideWhenUsed w:val="1"/>
    <w:rsid w:val="0027357B"/>
    <w:pPr>
      <w:tabs>
        <w:tab w:val="center" w:pos="4513"/>
        <w:tab w:val="right" w:pos="9026"/>
      </w:tabs>
    </w:pPr>
  </w:style>
  <w:style w:type="character" w:styleId="FooterChar" w:customStyle="1">
    <w:name w:val="Footer Char"/>
    <w:basedOn w:val="DefaultParagraphFont"/>
    <w:link w:val="Footer"/>
    <w:uiPriority w:val="99"/>
    <w:rsid w:val="0027357B"/>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enderequalitycommission.vic.gov.au/gender-impact-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j+rmckLYmJ/6jin3thLFggsQ==">AMUW2mWm2KYyHU6TFoag23vM2XxP03/c69lSUuXsbrA4awALVY/tBbosbTpxAGDphJEd3/QmSdoB2D8/7e3cB/UCikK2ZPP0je/N8D5lJT5ArxGwTeXfvkk=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2022-01-28T00:57:00Z</dcterms:created>
  <dc:creator>Eva Sarr</dc:creator>
</cp:coreProperties>
</file>